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r/>
    </w:p>
    <w:tbl>
      <w:tblPr>
        <w:tblW w:w="15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>
        <w:tblPrEx/>
        <w:trPr>
          <w:jc w:val="center"/>
          <w:trHeight w:val="335" w:hRule="exact"/>
        </w:trPr>
        <w:tc>
          <w:tcPr>
            <w:gridSpan w:val="2"/>
            <w:shd w:val="clear" w:color="auto" w:fill="931f22"/>
            <w:tcW w:w="15304" w:type="dxa"/>
            <w:vAlign w:val="bottom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982327"/>
              <w:rPr>
                <w:rFonts w:ascii="Arial" w:hAnsi="Arial" w:cs="Arial"/>
                <w:sz w:val="18"/>
                <w:szCs w:val="18"/>
              </w:rPr>
              <w:pBdr>
                <w:top w:val="single" w:color="982327" w:sz="0" w:space="0"/>
                <w:left w:val="single" w:color="982327" w:sz="0" w:space="0"/>
                <w:bottom w:val="single" w:color="982327" w:sz="0" w:space="0"/>
                <w:right w:val="single" w:color="982327" w:sz="0" w:space="0"/>
              </w:pBd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Расчет доступной мощности терминала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10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/24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jc w:val="center"/>
          <w:trHeight w:val="259" w:hRule="exact"/>
        </w:trPr>
        <w:tc>
          <w:tcPr>
            <w:shd w:val="clear" w:color="auto" w:fill="ffffff"/>
            <w:tcW w:w="6066" w:type="dxa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Терминал /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Terminal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ООО «ВСК» / VSC LLC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  <w:tr>
        <w:tblPrEx/>
        <w:trPr>
          <w:jc w:val="center"/>
          <w:trHeight w:val="571"/>
        </w:trPr>
        <w:tc>
          <w:tcPr>
            <w:shd w:val="clear" w:color="auto" w:fill="ffffff"/>
            <w:tcW w:w="6066" w:type="dxa"/>
            <w:vAlign w:val="center"/>
            <w:vMerge w:val="restart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Единиц /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Units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bottom w:val="single" w:color="000000" w:sz="4" w:space="0"/>
            </w:tcBorders>
            <w:tcW w:w="9238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Containers</w:t>
            </w: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/ Контейнеры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jc w:val="center"/>
          <w:trHeight w:val="570"/>
        </w:trPr>
        <w:tc>
          <w:tcPr>
            <w:shd w:val="clear" w:color="auto" w:fill="ffffff"/>
            <w:tcW w:w="6066" w:type="dxa"/>
            <w:vAlign w:val="center"/>
            <w:vMerge w:val="continue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</w:tcBorders>
            <w:tcW w:w="9238" w:type="dxa"/>
            <w:vAlign w:val="center"/>
            <w:textDirection w:val="lrTb"/>
            <w:noWrap w:val="false"/>
          </w:tcPr>
          <w:p>
            <w:pPr>
              <w:pStyle w:val="622"/>
              <w:jc w:val="center"/>
              <w:spacing w:after="0" w:line="240" w:lineRule="auto"/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</w:pP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Total TEU</w:t>
            </w:r>
            <w:r>
              <w:rPr>
                <w:rFonts w:ascii="Arial" w:hAnsi="Arial" w:eastAsia="Calibri" w:cs="Arial"/>
                <w:sz w:val="18"/>
                <w:szCs w:val="18"/>
                <w:lang w:bidi="en-US"/>
              </w:rPr>
              <w:t xml:space="preserve">/ ИТОГО </w:t>
            </w: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  <w:t xml:space="preserve">(TEU)</w:t>
            </w:r>
            <w:r>
              <w:rPr>
                <w:rFonts w:ascii="Arial" w:hAnsi="Arial" w:eastAsia="Calibri" w:cs="Arial"/>
                <w:sz w:val="18"/>
                <w:szCs w:val="18"/>
                <w:lang w:val="en-US" w:bidi="en-US"/>
              </w:rPr>
            </w:r>
          </w:p>
        </w:tc>
      </w:tr>
      <w:tr>
        <w:tblPrEx/>
        <w:trPr>
          <w:jc w:val="center"/>
          <w:trHeight w:val="245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Нормативная (проектная) пропускная способность/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Regulatory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design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throughput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62000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jc w:val="center"/>
          <w:trHeight w:val="695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348" w:lineRule="auto"/>
              <w:shd w:val="clear" w:color="auto" w:fill="auto"/>
              <w:rPr>
                <w:rFonts w:ascii="Arial" w:hAnsi="Arial" w:eastAsia="Arial" w:cs="Arial"/>
                <w:sz w:val="18"/>
                <w:szCs w:val="18"/>
                <w:lang w:bidi="en-US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Фактическая мощность, с учетом производственных ограничений/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Current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Capacity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Considering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Restrictions</w:t>
            </w:r>
            <w:r>
              <w:rPr>
                <w:rFonts w:ascii="Arial" w:hAnsi="Arial" w:eastAsia="Arial" w:cs="Arial"/>
                <w:sz w:val="18"/>
                <w:szCs w:val="18"/>
                <w:lang w:bidi="en-US"/>
              </w:rPr>
            </w:r>
          </w:p>
          <w:p>
            <w:pPr>
              <w:pStyle w:val="622"/>
              <w:spacing w:after="0" w:line="348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45000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</w:tr>
      <w:tr>
        <w:tblPrEx/>
        <w:trPr>
          <w:jc w:val="center"/>
          <w:trHeight w:val="284" w:hRule="exact"/>
        </w:trPr>
        <w:tc>
          <w:tcPr>
            <w:shd w:val="clear" w:color="auto" w:fill="ffffff"/>
            <w:tcW w:w="6066" w:type="dxa"/>
            <w:vAlign w:val="center"/>
            <w:textDirection w:val="lrTb"/>
            <w:noWrap w:val="false"/>
          </w:tcPr>
          <w:p>
            <w:pPr>
              <w:pStyle w:val="622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Доступная мощность / </w:t>
            </w:r>
            <w:r>
              <w:rPr>
                <w:rFonts w:ascii="Arial" w:hAnsi="Arial" w:eastAsia="Arial" w:cs="Arial"/>
                <w:sz w:val="18"/>
                <w:szCs w:val="18"/>
                <w:lang w:val="en-US" w:bidi="en-US"/>
              </w:rPr>
              <w:t xml:space="preserve">Available Capacity</w:t>
            </w:r>
            <w:r>
              <w:rPr>
                <w:rFonts w:ascii="Arial" w:hAnsi="Arial" w:cs="Arial"/>
                <w:sz w:val="18"/>
                <w:szCs w:val="18"/>
              </w:rPr>
            </w:r>
          </w:p>
        </w:tc>
        <w:tc>
          <w:tcPr>
            <w:shd w:val="clear" w:color="auto" w:fill="ffffff"/>
            <w:tcW w:w="9238" w:type="dxa"/>
            <w:vAlign w:val="center"/>
            <w:textDirection w:val="lrTb"/>
            <w:noWrap w:val="false"/>
          </w:tcPr>
          <w:p>
            <w:pPr>
              <w:pStyle w:val="622"/>
              <w:ind w:hanging="13"/>
              <w:jc w:val="center"/>
              <w:spacing w:after="0" w:line="240" w:lineRule="auto"/>
              <w:shd w:val="clear" w:color="auto" w:fill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45000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r/>
      <w:r/>
    </w:p>
    <w:sectPr>
      <w:footnotePr/>
      <w:endnotePr/>
      <w:type w:val="nextPage"/>
      <w:pgSz w:w="16838" w:h="11906" w:orient="landscape"/>
      <w:pgMar w:top="85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Другое_"/>
    <w:basedOn w:val="618"/>
    <w:link w:val="622"/>
    <w:rPr>
      <w:rFonts w:ascii="Times New Roman" w:hAnsi="Times New Roman" w:eastAsia="Times New Roman" w:cs="Times New Roman"/>
      <w:shd w:val="clear" w:color="auto" w:fill="ffffff"/>
    </w:rPr>
  </w:style>
  <w:style w:type="paragraph" w:styleId="622" w:customStyle="1">
    <w:name w:val="Другое"/>
    <w:basedOn w:val="617"/>
    <w:link w:val="621"/>
    <w:pPr>
      <w:spacing w:after="240" w:line="264" w:lineRule="auto"/>
      <w:shd w:val="clear" w:color="auto" w:fill="ffffff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pantiukhov.v@delotech.ru</cp:lastModifiedBy>
  <cp:revision>27</cp:revision>
  <dcterms:created xsi:type="dcterms:W3CDTF">2023-05-05T08:01:00Z</dcterms:created>
  <dcterms:modified xsi:type="dcterms:W3CDTF">2024-09-26T07:04:12Z</dcterms:modified>
</cp:coreProperties>
</file>